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1"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00"/>
        <w:gridCol w:w="5871"/>
      </w:tblGrid>
      <w:tr w:rsidR="00B20D74">
        <w:tc>
          <w:tcPr>
            <w:tcW w:w="3200"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B20D74" w:rsidRDefault="008548CA">
            <w:pPr>
              <w:spacing w:line="300" w:lineRule="exact"/>
              <w:jc w:val="center"/>
            </w:pPr>
            <w:r>
              <w:rPr>
                <w:sz w:val="26"/>
                <w:szCs w:val="26"/>
              </w:rPr>
              <w:t>ỦY BAN NHÂN DÂN</w:t>
            </w:r>
          </w:p>
          <w:p w:rsidR="00B20D74" w:rsidRDefault="008548CA">
            <w:pPr>
              <w:spacing w:line="300" w:lineRule="exact"/>
              <w:jc w:val="center"/>
            </w:pPr>
            <w:r>
              <w:rPr>
                <w:b/>
                <w:bCs/>
                <w:sz w:val="26"/>
                <w:szCs w:val="26"/>
              </w:rPr>
              <w:t>TỈNH HƯNG YÊN</w:t>
            </w:r>
          </w:p>
          <w:p w:rsidR="00712231" w:rsidRDefault="00712231">
            <w:pPr>
              <w:spacing w:line="300" w:lineRule="exact"/>
              <w:jc w:val="center"/>
              <w:rPr>
                <w:sz w:val="26"/>
                <w:szCs w:val="26"/>
              </w:rPr>
            </w:pPr>
            <w:r>
              <w:rPr>
                <w:noProof/>
              </w:rPr>
              <mc:AlternateContent>
                <mc:Choice Requires="wps">
                  <w:drawing>
                    <wp:anchor distT="0" distB="0" distL="114300" distR="114300" simplePos="0" relativeHeight="251659264" behindDoc="0" locked="0" layoutInCell="1" allowOverlap="1" wp14:anchorId="5D3A1681" wp14:editId="187E3DCA">
                      <wp:simplePos x="0" y="0"/>
                      <wp:positionH relativeFrom="column">
                        <wp:posOffset>554990</wp:posOffset>
                      </wp:positionH>
                      <wp:positionV relativeFrom="paragraph">
                        <wp:posOffset>28575</wp:posOffset>
                      </wp:positionV>
                      <wp:extent cx="737870" cy="0"/>
                      <wp:effectExtent l="12065" t="12065" r="12065" b="69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78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F2E9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7pt,2.25pt" to="101.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" strokeweight="1pt"/>
                  </w:pict>
                </mc:Fallback>
              </mc:AlternateContent>
            </w:r>
          </w:p>
          <w:p w:rsidR="00B20D74" w:rsidRDefault="008548CA">
            <w:pPr>
              <w:spacing w:line="300" w:lineRule="exact"/>
              <w:jc w:val="center"/>
            </w:pPr>
            <w:r>
              <w:rPr>
                <w:sz w:val="26"/>
                <w:szCs w:val="26"/>
              </w:rPr>
              <w:t>Số:        /TTr-UBND</w:t>
            </w:r>
          </w:p>
          <w:p w:rsidR="00B20D74" w:rsidRDefault="00B20D74">
            <w:pPr>
              <w:spacing w:line="300" w:lineRule="exact"/>
              <w:jc w:val="center"/>
            </w:pPr>
          </w:p>
          <w:p w:rsidR="00B20D74" w:rsidRDefault="008548CA">
            <w:pPr>
              <w:spacing w:line="300" w:lineRule="exact"/>
              <w:jc w:val="center"/>
            </w:pPr>
            <w:r>
              <w:rPr>
                <w:b/>
                <w:bCs/>
                <w:sz w:val="26"/>
                <w:szCs w:val="26"/>
              </w:rPr>
              <w:t>DỰ THẢO</w:t>
            </w:r>
          </w:p>
        </w:tc>
        <w:tc>
          <w:tcPr>
            <w:tcW w:w="5871"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B20D74" w:rsidRPr="00712231" w:rsidRDefault="008548CA">
            <w:pPr>
              <w:spacing w:line="300" w:lineRule="exact"/>
              <w:jc w:val="center"/>
              <w:rPr>
                <w:sz w:val="26"/>
                <w:szCs w:val="26"/>
              </w:rPr>
            </w:pPr>
            <w:r>
              <w:rPr>
                <w:b/>
                <w:bCs/>
                <w:sz w:val="26"/>
                <w:szCs w:val="26"/>
              </w:rPr>
              <w:t>CỘNG HÒA XÃ HỘI CHỦ NGHĨA VIỆT NAM</w:t>
            </w:r>
          </w:p>
          <w:p w:rsidR="00B20D74" w:rsidRPr="00712231" w:rsidRDefault="008548CA">
            <w:pPr>
              <w:spacing w:line="300" w:lineRule="exact"/>
              <w:jc w:val="center"/>
            </w:pPr>
            <w:r>
              <w:rPr>
                <w:b/>
                <w:bCs/>
              </w:rPr>
              <w:t>Độc lập - Tự do - Hạnh phúc</w:t>
            </w:r>
          </w:p>
          <w:p w:rsidR="00712231" w:rsidRDefault="00712231">
            <w:pPr>
              <w:spacing w:line="300" w:lineRule="exact"/>
              <w:jc w:val="center"/>
              <w:rPr>
                <w:i/>
                <w:iCs/>
              </w:rPr>
            </w:pPr>
            <w:r>
              <w:rPr>
                <w:noProof/>
              </w:rPr>
              <mc:AlternateContent>
                <mc:Choice Requires="wps">
                  <w:drawing>
                    <wp:anchor distT="0" distB="0" distL="114300" distR="114300" simplePos="0" relativeHeight="251660288" behindDoc="0" locked="0" layoutInCell="1" allowOverlap="1" wp14:anchorId="361AE626" wp14:editId="40FC0C3B">
                      <wp:simplePos x="0" y="0"/>
                      <wp:positionH relativeFrom="column">
                        <wp:posOffset>725170</wp:posOffset>
                      </wp:positionH>
                      <wp:positionV relativeFrom="paragraph">
                        <wp:posOffset>12700</wp:posOffset>
                      </wp:positionV>
                      <wp:extent cx="2138045" cy="0"/>
                      <wp:effectExtent l="13970" t="9525" r="10160"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04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39FCAD"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1pt,1pt" to="225.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" strokeweight="1pt"/>
                  </w:pict>
                </mc:Fallback>
              </mc:AlternateContent>
            </w:r>
          </w:p>
          <w:p w:rsidR="00B20D74" w:rsidRDefault="008548CA">
            <w:pPr>
              <w:spacing w:line="300" w:lineRule="exact"/>
              <w:jc w:val="center"/>
            </w:pPr>
            <w:r>
              <w:rPr>
                <w:i/>
                <w:iCs/>
              </w:rPr>
              <w:t>Hưng Yên, ngày      tháng      năm 2026</w:t>
            </w:r>
          </w:p>
        </w:tc>
      </w:tr>
    </w:tbl>
    <w:p w:rsidR="00B20D74" w:rsidRDefault="008548CA">
      <w:pPr>
        <w:spacing w:before="360" w:line="340" w:lineRule="exact"/>
        <w:jc w:val="center"/>
      </w:pPr>
      <w:r>
        <w:rPr>
          <w:b/>
          <w:bCs/>
        </w:rPr>
        <w:t>TỜ TRÌNH</w:t>
      </w:r>
    </w:p>
    <w:p w:rsidR="00B20D74" w:rsidRDefault="008548CA">
      <w:pPr>
        <w:spacing w:after="60" w:line="340" w:lineRule="exact"/>
        <w:jc w:val="center"/>
      </w:pPr>
      <w:r>
        <w:rPr>
          <w:b/>
          <w:bCs/>
        </w:rPr>
        <w:t>Về việc ban hành Nghị quyết quy định chính sách hỗ trợ cho hộ gia đình lắp đặt điện mặt trời mái nhà tự sản xuất, tự tiêu thụ và hệ thống lưu trữ điện trên địa bàn tỉnh Hưng Yên, giai đoạn 2027-2030</w:t>
      </w:r>
    </w:p>
    <w:p w:rsidR="00B20D74" w:rsidRDefault="008548CA">
      <w:pPr>
        <w:spacing w:after="120" w:line="340" w:lineRule="exact"/>
        <w:jc w:val="center"/>
      </w:pPr>
      <w:r>
        <w:rPr>
          <w:sz w:val="20"/>
          <w:szCs w:val="20"/>
        </w:rPr>
        <w:t>──────────</w:t>
      </w:r>
      <w:bookmarkStart w:id="0" w:name="_GoBack"/>
      <w:bookmarkEnd w:id="0"/>
    </w:p>
    <w:p w:rsidR="00B20D74" w:rsidRDefault="008548CA">
      <w:pPr>
        <w:spacing w:before="120" w:after="180" w:line="340" w:lineRule="exact"/>
        <w:jc w:val="center"/>
      </w:pPr>
      <w:r>
        <w:t>Kính gửi: Hội đồng nhân dân tỉnh Hưng Yên.</w:t>
      </w:r>
    </w:p>
    <w:p w:rsidR="00B20D74" w:rsidRDefault="008548CA">
      <w:pPr>
        <w:spacing w:before="60" w:after="60" w:line="340" w:lineRule="exact"/>
        <w:ind w:firstLine="567"/>
        <w:jc w:val="both"/>
      </w:pPr>
      <w:r>
        <w:t>Căn cứ Luật Tổ chức chính quyền địa phương ngày 16 tháng 6 năm 2025;</w:t>
      </w:r>
    </w:p>
    <w:p w:rsidR="00B20D74" w:rsidRDefault="008548CA">
      <w:pPr>
        <w:spacing w:before="60" w:after="60" w:line="340" w:lineRule="exact"/>
        <w:ind w:firstLine="567"/>
        <w:jc w:val="both"/>
      </w:pPr>
      <w:r>
        <w:t>Căn cứ Luật Ban hành văn bản quy phạm pháp luật ngày 19 tháng 02 năm 2025; Luật sửa đổi, bổ sung một số điều của Luật Ban hành văn bản quy phạm pháp luật ngày 25 tháng 6 năm 2025;</w:t>
      </w:r>
    </w:p>
    <w:p w:rsidR="00B20D74" w:rsidRDefault="008548CA">
      <w:pPr>
        <w:spacing w:before="60" w:after="60" w:line="340" w:lineRule="exact"/>
        <w:ind w:firstLine="567"/>
        <w:jc w:val="both"/>
      </w:pPr>
      <w:r>
        <w:t>Căn cứ Luật Điện lực ngày 30 tháng 11 năm 2024;</w:t>
      </w:r>
    </w:p>
    <w:p w:rsidR="00B20D74" w:rsidRDefault="008548CA">
      <w:pPr>
        <w:spacing w:before="60" w:after="60" w:line="340" w:lineRule="exact"/>
        <w:ind w:firstLine="567"/>
        <w:jc w:val="both"/>
      </w:pPr>
      <w:r>
        <w:t>Căn cứ Luật Ngân sách nhà nước ngày 25 tháng 6 năm 2025;</w:t>
      </w:r>
    </w:p>
    <w:p w:rsidR="00B20D74" w:rsidRDefault="008548CA">
      <w:pPr>
        <w:spacing w:before="60" w:after="60" w:line="340" w:lineRule="exact"/>
        <w:ind w:firstLine="567"/>
        <w:jc w:val="both"/>
      </w:pPr>
      <w:r>
        <w:t>Ủy ban nhân dân tỉnh kính trình Hội đồng nhân dân tỉnh dự thảo Nghị quyết quy định chính sách hỗ trợ cho hộ gia đình lắp đặt điện mặt trời mái nhà tự sản xuất, tự tiêu thụ và hệ thống lưu trữ điện trên địa bàn tỉnh Hưng Yên, giai đoạn 2027-2030 (sau đây gọi là dự thảo Nghị quyết) như sau:</w:t>
      </w:r>
    </w:p>
    <w:p w:rsidR="00B20D74" w:rsidRDefault="008548CA">
      <w:pPr>
        <w:keepNext/>
        <w:spacing w:before="120" w:after="60" w:line="340" w:lineRule="exact"/>
        <w:ind w:firstLine="567"/>
        <w:jc w:val="both"/>
      </w:pPr>
      <w:r>
        <w:rPr>
          <w:b/>
          <w:bCs/>
        </w:rPr>
        <w:t>I. SỰ CẦN THIẾT BAN HÀNH NGHỊ QUYẾT</w:t>
      </w:r>
    </w:p>
    <w:p w:rsidR="00B20D74" w:rsidRDefault="008548CA">
      <w:pPr>
        <w:keepNext/>
        <w:spacing w:before="120" w:after="60" w:line="340" w:lineRule="exact"/>
        <w:ind w:firstLine="567"/>
        <w:jc w:val="both"/>
      </w:pPr>
      <w:r>
        <w:rPr>
          <w:b/>
          <w:bCs/>
        </w:rPr>
        <w:t>1. Cơ sở chính trị, pháp lý</w:t>
      </w:r>
    </w:p>
    <w:p w:rsidR="00B20D74" w:rsidRDefault="008548CA">
      <w:pPr>
        <w:spacing w:before="60" w:after="60" w:line="340" w:lineRule="exact"/>
        <w:ind w:firstLine="567"/>
        <w:jc w:val="both"/>
      </w:pPr>
      <w:r>
        <w:t>Nghị quyết số 55-NQ/TW ngày 11/02/2020 của Bộ Chính trị về định hướng Chiến lược phát triển năng lượng quốc gia của Việt Nam đến năm 2030, tầm nhìn đến năm 2045 xác định: “Khuyến khích phát triển điện mặt trời áp mái và trên mặt nước”. Nghị quyết số 70-NQ/TW ngày 20/8/2025 của Bộ Chính trị về bảo đảm an ninh năng lượng quốc gia đến năm 2030, tầm nhìn đến năm 2045 tiếp tục yêu cầu “có cơ chế, chính sách ưu đãi hợp lý để phát triển điện mặt trời mái nhà tự sản xuất, tự tiêu thụ và hệ thống lưu trữ năng lượng”.</w:t>
      </w:r>
    </w:p>
    <w:p w:rsidR="00B20D74" w:rsidRDefault="008548CA">
      <w:pPr>
        <w:spacing w:before="60" w:after="60" w:line="340" w:lineRule="exact"/>
        <w:ind w:firstLine="567"/>
        <w:jc w:val="both"/>
      </w:pPr>
      <w:r>
        <w:t>Khoản 2 Điều 22 Luật Điện lực năm 2024 quy định: “Căn cứ khả năng kỹ thuật, điều kiện kinh tế và khả năng ngân sách nhà nước trong từng thời kỳ, Thủ tướng Chính phủ, Hội đồng nhân dân cấp tỉnh ban hành chính sách hỗ trợ cho hộ gia đình lắp đặt điện tự sản xuất, tự tiêu thụ như sau: a) Hỗ trợ về tài chính cho đầu tư lắp đặt điện mặt trời mái nhà và hệ thống lưu trữ điện; b) Hỗ trợ kỹ thuật về thiết kế, giải pháp bảo đảm an toàn chịu lực công trình, giải pháp phòng cháy, chữa cháy”. Đây là căn cứ trực tiếp giao thẩm quyền cho Hội đồng nhân dân tỉnh ban hành Nghị quyết.</w:t>
      </w:r>
    </w:p>
    <w:p w:rsidR="00B20D74" w:rsidRDefault="008548CA">
      <w:pPr>
        <w:spacing w:before="60" w:after="60" w:line="340" w:lineRule="exact"/>
        <w:ind w:firstLine="567"/>
        <w:jc w:val="both"/>
      </w:pPr>
      <w:r>
        <w:lastRenderedPageBreak/>
        <w:t>Nghị định số 58/2025/NĐ-CP ngày 03/3/2025 của Chính phủ quy định chi tiết một số điều của Luật Điện lực về phát triển điện năng lượng tái tạo, điện năng lượng mới, được sửa đổi, bổ sung bởi Nghị định số 243/2026/NĐ-CP ngày 26/6/2026, quy định về phát triển điện mặt trời mái nhà tự sản xuất, tự tiêu thụ. Quyết định số 768/QĐ-TTg ngày 15/4/2025 của Thủ tướng Chính phủ phê duyệt Điều chỉnh Quy hoạch phát triển điện lực quốc gia thời kỳ 2021-2030, tầm nhìn đến năm 2050 đặt mục tiêu “phấn đấu đến năm 2030 có 50% các tòa nhà công sở và 50% nhà dân sử dụng điện mặt trời mái nhà tự sản, tự tiêu”.</w:t>
      </w:r>
    </w:p>
    <w:p w:rsidR="00B20D74" w:rsidRDefault="008548CA">
      <w:pPr>
        <w:spacing w:before="60" w:after="60" w:line="340" w:lineRule="exact"/>
        <w:ind w:firstLine="567"/>
        <w:jc w:val="both"/>
      </w:pPr>
      <w:r>
        <w:t>Chỉ thị số 09/CT-TTg ngày 19/3/2026 và Chỉ thị số 10/CT-TTg ngày 30/3/2026 của Thủ tướng Chính phủ yêu cầu tăng cường tiết kiệm năng lượng, thúc đẩy chuyển dịch năng lượng và phát triển điện mặt trời mái nhà. Triển khai các chủ trương trên, Tỉnh ủy đã ban hành Kế hoạch số 13/KH-TU ngày 06/11/2025; Ủy ban nhân dân tỉnh đã ban hành Kế hoạch số 11/KH-UBND ngày 14/01/2026, Kế hoạch số 123/KH-UBND ngày 09/4/2026, Chỉ thị số 06/CT-UBND ngày 29/4/2026 và Kế hoạch số 177/KH-UBND ngày 20/5/2026 về tăng cường tiết kiệm điện và phát triển điện mặt trời mái nhà trên địa bàn tỉnh.</w:t>
      </w:r>
    </w:p>
    <w:p w:rsidR="00B20D74" w:rsidRDefault="008548CA">
      <w:pPr>
        <w:keepNext/>
        <w:spacing w:before="120" w:after="60" w:line="340" w:lineRule="exact"/>
        <w:ind w:firstLine="567"/>
        <w:jc w:val="both"/>
      </w:pPr>
      <w:r>
        <w:rPr>
          <w:b/>
          <w:bCs/>
        </w:rPr>
        <w:t>2. Cơ sở thực tiễn</w:t>
      </w:r>
    </w:p>
    <w:p w:rsidR="00B20D74" w:rsidRDefault="008548CA">
      <w:pPr>
        <w:spacing w:before="60" w:after="60" w:line="340" w:lineRule="exact"/>
        <w:ind w:firstLine="567"/>
        <w:jc w:val="both"/>
      </w:pPr>
      <w:r>
        <w:t>Tỉnh Hưng Yên có số giờ nắng trung bình khoảng 1.400-1.650 giờ/năm, cường độ bức xạ trung bình khoảng 1.199 kWh/m²/năm, đủ điều kiện phát triển điện mặt trời mái nhà hiệu quả. Theo Quy hoạch điện VIII điều chỉnh, công suất điện mặt trời mái nhà tăng thêm giai đoạn 2025-2030 của tỉnh là 1.799 MW, trong đó có điện mặt trời mái nhà tự sản xuất, tự tiêu thụ của hộ gia đình.</w:t>
      </w:r>
    </w:p>
    <w:p w:rsidR="00B20D74" w:rsidRDefault="008548CA">
      <w:pPr>
        <w:spacing w:before="60" w:after="60" w:line="340" w:lineRule="exact"/>
        <w:ind w:firstLine="567"/>
        <w:jc w:val="both"/>
      </w:pPr>
      <w:r>
        <w:t>Điện mặt trời mái nhà tự sản xuất, tự tiêu thụ không sử dụng quỹ đất, đấu nối vào lưới điện hạ áp sẵn có, cung cấp điện tại chỗ, giảm tải và giảm tổn thất cho lưới điện phân phối, giảm chi phí tiền điện cho hộ gia đình. Khi kết hợp hệ thống lưu trữ điện, nguồn điện này còn góp phần giảm phụ tải giờ cao điểm buổi tối, nâng cao độ tin cậy cung cấp điện.</w:t>
      </w:r>
    </w:p>
    <w:p w:rsidR="00B20D74" w:rsidRDefault="008548CA">
      <w:pPr>
        <w:spacing w:before="60" w:after="60" w:line="340" w:lineRule="exact"/>
        <w:ind w:firstLine="567"/>
        <w:jc w:val="both"/>
      </w:pPr>
      <w:r>
        <w:t>Tuy nhiên, chi phí đầu tư ban đầu còn cao so với thu nhập của nhiều hộ gia đình. Qua khảo sát thực tế từ tháng 4 đến tháng 7/2026, suất đầu tư bình quân hệ thống điện mặt trời mái nhà khoảng 8 triệu đồng/kWp, hệ thống lưu trữ điện khoảng 6 triệu đồng/kWh; hệ thống 5 kWp kèm 5 kWh lưu trữ có giá khoảng 70 triệu đồng. Bên cạnh đó, việc lắp đặt trên mái nhà ở, nhất là hệ thống pin lưu trữ, tiềm ẩn rủi ro về an toàn chịu lực và phòng cháy, chữa cháy nếu không được hướng dẫn kỹ thuật phù hợp.</w:t>
      </w:r>
    </w:p>
    <w:p w:rsidR="00B20D74" w:rsidRDefault="008548CA">
      <w:pPr>
        <w:spacing w:before="60" w:after="60" w:line="340" w:lineRule="exact"/>
        <w:ind w:firstLine="567"/>
        <w:jc w:val="both"/>
      </w:pPr>
      <w:r>
        <w:t>Do vậy, việc Hội đồng nhân dân tỉnh ban hành Nghị quyết quy định chính sách hỗ trợ về tài chính và kỹ thuật cho hộ gia đình là cần thiết, nhằm cụ thể hóa khoản 2 Điều 22 Luật Điện lực, tạo động lực để người dân đầu tư điện mặt trời mái nhà và hệ thống lưu trữ điện bảo đảm an toàn, góp phần thực hiện mục tiêu của Quy hoạch điện VIII điều chỉnh trên địa bàn tỉnh.</w:t>
      </w:r>
    </w:p>
    <w:p w:rsidR="00B20D74" w:rsidRDefault="008548CA">
      <w:pPr>
        <w:keepNext/>
        <w:spacing w:before="120" w:after="60" w:line="340" w:lineRule="exact"/>
        <w:ind w:firstLine="567"/>
        <w:jc w:val="both"/>
      </w:pPr>
      <w:r>
        <w:rPr>
          <w:b/>
          <w:bCs/>
        </w:rPr>
        <w:lastRenderedPageBreak/>
        <w:t>II. MỤC ĐÍCH, QUAN ĐIỂM XÂY DỰNG DỰ THẢO NGHỊ QUYẾT</w:t>
      </w:r>
    </w:p>
    <w:p w:rsidR="00B20D74" w:rsidRDefault="008548CA">
      <w:pPr>
        <w:keepNext/>
        <w:spacing w:before="120" w:after="60" w:line="340" w:lineRule="exact"/>
        <w:ind w:firstLine="567"/>
        <w:jc w:val="both"/>
      </w:pPr>
      <w:r>
        <w:rPr>
          <w:b/>
          <w:bCs/>
        </w:rPr>
        <w:t>1. Mục đích</w:t>
      </w:r>
    </w:p>
    <w:p w:rsidR="00B20D74" w:rsidRDefault="008548CA">
      <w:pPr>
        <w:spacing w:before="60" w:after="60" w:line="340" w:lineRule="exact"/>
        <w:ind w:firstLine="567"/>
        <w:jc w:val="both"/>
      </w:pPr>
      <w:r>
        <w:t>- Cụ thể hóa thẩm quyền được giao tại khoản 2 Điều 22 Luật Điện lực năm 2024; thể chế hóa chủ trương của Đảng tại Nghị quyết số 55-NQ/TW và Nghị quyết số 70-NQ/TW.</w:t>
      </w:r>
    </w:p>
    <w:p w:rsidR="00B20D74" w:rsidRDefault="008548CA">
      <w:pPr>
        <w:spacing w:before="60" w:after="60" w:line="340" w:lineRule="exact"/>
        <w:ind w:firstLine="567"/>
        <w:jc w:val="both"/>
      </w:pPr>
      <w:r>
        <w:t>- Khuyến khích hộ gia đình đầu tư điện mặt trời mái nhà tự sản xuất, tự tiêu thụ và hệ thống lưu trữ điện, giảm tải cho lưới điện, tiết kiệm chi phí tiền điện cho người dân.</w:t>
      </w:r>
    </w:p>
    <w:p w:rsidR="00B20D74" w:rsidRDefault="008548CA">
      <w:pPr>
        <w:spacing w:before="60" w:after="60" w:line="340" w:lineRule="exact"/>
        <w:ind w:firstLine="567"/>
        <w:jc w:val="both"/>
      </w:pPr>
      <w:r>
        <w:t>- Thúc đẩy sử dụng thiết bị bảo đảm chất lượng, an toàn điện, an toàn chịu lực công trình và phòng cháy, chữa cháy.</w:t>
      </w:r>
    </w:p>
    <w:p w:rsidR="00B20D74" w:rsidRDefault="008548CA">
      <w:pPr>
        <w:keepNext/>
        <w:spacing w:before="120" w:after="60" w:line="340" w:lineRule="exact"/>
        <w:ind w:firstLine="567"/>
        <w:jc w:val="both"/>
      </w:pPr>
      <w:r>
        <w:rPr>
          <w:b/>
          <w:bCs/>
        </w:rPr>
        <w:t>2. Quan điểm xây dựng</w:t>
      </w:r>
    </w:p>
    <w:p w:rsidR="00B20D74" w:rsidRDefault="008548CA">
      <w:pPr>
        <w:spacing w:before="60" w:after="60" w:line="340" w:lineRule="exact"/>
        <w:ind w:firstLine="567"/>
        <w:jc w:val="both"/>
      </w:pPr>
      <w:r>
        <w:t>- Bảo đảm phù hợp với chủ trương của Đảng, chính sách, pháp luật của Nhà nước; tính hợp hiến, hợp pháp, thống nhất trong hệ thống pháp luật; phù hợp với khả năng cân đối ngân sách của tỉnh.</w:t>
      </w:r>
    </w:p>
    <w:p w:rsidR="00B20D74" w:rsidRDefault="008548CA">
      <w:pPr>
        <w:spacing w:before="60" w:after="60" w:line="340" w:lineRule="exact"/>
        <w:ind w:firstLine="567"/>
        <w:jc w:val="both"/>
      </w:pPr>
      <w:r>
        <w:t>- Thủ tục đơn giản, công khai, minh bạch, phân cấp cho Ủy ban nhân dân xã, phường giải quyết; tận dụng dữ liệu điện tử sẵn có; có cơ chế kiểm tra, thu hồi để phòng ngừa trục lợi chính sách.</w:t>
      </w:r>
    </w:p>
    <w:p w:rsidR="00B20D74" w:rsidRDefault="008548CA">
      <w:pPr>
        <w:keepNext/>
        <w:spacing w:before="120" w:after="60" w:line="340" w:lineRule="exact"/>
        <w:ind w:firstLine="567"/>
        <w:jc w:val="both"/>
      </w:pPr>
      <w:r>
        <w:rPr>
          <w:b/>
          <w:bCs/>
        </w:rPr>
        <w:t>III. QUÁ TRÌNH XÂY DỰNG DỰ THẢO NGHỊ QUYẾT</w:t>
      </w:r>
    </w:p>
    <w:p w:rsidR="00B20D74" w:rsidRDefault="008548CA">
      <w:pPr>
        <w:spacing w:before="60" w:after="60" w:line="340" w:lineRule="exact"/>
        <w:ind w:firstLine="567"/>
        <w:jc w:val="both"/>
      </w:pPr>
      <w:r>
        <w:t>Thực hiện quy định của Luật Ban hành văn bản quy phạm pháp luật, Ủy ban nhân dân tỉnh đã chỉ đạo Sở Công Thương chủ trì xây dựng dự thảo Nghị quyết, cụ thể:</w:t>
      </w:r>
    </w:p>
    <w:p w:rsidR="00B20D74" w:rsidRDefault="008548CA">
      <w:pPr>
        <w:spacing w:before="60" w:after="60" w:line="340" w:lineRule="exact"/>
        <w:ind w:firstLine="567"/>
        <w:jc w:val="both"/>
      </w:pPr>
      <w:r>
        <w:t>- Sở Công Thương lấy ý kiến các Sở, ngành, Công an tỉnh, Ủy ban nhân dân các xã, phường, Công ty Điện lực Hưng Yên, Ủy ban Mặt trận Tổ quốc Việt Nam tỉnh (Văn bản số …/SCT-QLNL ngày …/10/2026); đăng tải toàn văn dự thảo trên Trang thông tin điện tử của Sở Công Thương để lấy ý kiến rộng rãi. Các ý kiến góp ý đã được tổng hợp, tiếp thu, giải trình (có Báo cáo tổng hợp kèm theo).</w:t>
      </w:r>
    </w:p>
    <w:p w:rsidR="00B20D74" w:rsidRDefault="008548CA">
      <w:pPr>
        <w:spacing w:before="60" w:after="60" w:line="340" w:lineRule="exact"/>
        <w:ind w:firstLine="567"/>
        <w:jc w:val="both"/>
      </w:pPr>
      <w:r>
        <w:t>- Sở Tư pháp thẩm định dự thảo Nghị quyết tại Báo cáo thẩm định số …/BC-STP ngày …/…/2026; Sở Công Thương đã tiếp thu, giải trình ý kiến thẩm định.</w:t>
      </w:r>
    </w:p>
    <w:p w:rsidR="00B20D74" w:rsidRDefault="008548CA">
      <w:pPr>
        <w:spacing w:before="60" w:after="60" w:line="340" w:lineRule="exact"/>
        <w:ind w:firstLine="567"/>
        <w:jc w:val="both"/>
      </w:pPr>
      <w:r>
        <w:t>- Ủy ban nhân dân tỉnh đã thảo luận, thống nhất nội dung dự thảo Nghị quyết tại phiên họp ngày …/…/2026.</w:t>
      </w:r>
    </w:p>
    <w:p w:rsidR="00B20D74" w:rsidRDefault="008548CA">
      <w:pPr>
        <w:keepNext/>
        <w:spacing w:before="120" w:after="60" w:line="340" w:lineRule="exact"/>
        <w:ind w:firstLine="567"/>
        <w:jc w:val="both"/>
      </w:pPr>
      <w:r>
        <w:rPr>
          <w:b/>
          <w:bCs/>
        </w:rPr>
        <w:t>IV. PHẠM VI ĐIỀU CHỈNH, ĐỐI TƯỢNG ÁP DỤNG</w:t>
      </w:r>
    </w:p>
    <w:p w:rsidR="00B20D74" w:rsidRDefault="008548CA">
      <w:pPr>
        <w:spacing w:before="60" w:after="60" w:line="340" w:lineRule="exact"/>
        <w:ind w:firstLine="567"/>
        <w:jc w:val="both"/>
      </w:pPr>
      <w:r>
        <w:rPr>
          <w:b/>
          <w:bCs/>
        </w:rPr>
        <w:t>1. Phạm vi điều chỉnh:</w:t>
      </w:r>
      <w:r>
        <w:t xml:space="preserve"> Nghị quyết quy định chính sách hỗ trợ cho hộ gia đình lắp đặt điện mặt trời mái nhà tự sản xuất, tự tiêu thụ và hệ thống lưu trữ điện tại nhà ở riêng lẻ trên địa bàn tỉnh Hưng Yên, giai đoạn từ năm 2027 đến hết năm 2030.</w:t>
      </w:r>
    </w:p>
    <w:p w:rsidR="00B20D74" w:rsidRDefault="008548CA">
      <w:pPr>
        <w:spacing w:before="60" w:after="60" w:line="340" w:lineRule="exact"/>
        <w:ind w:firstLine="567"/>
        <w:jc w:val="both"/>
      </w:pPr>
      <w:r>
        <w:rPr>
          <w:b/>
          <w:bCs/>
        </w:rPr>
        <w:t>2. Đối tượng áp dụng:</w:t>
      </w:r>
      <w:r>
        <w:t xml:space="preserve"> Hộ gia đình có nhà ở riêng lẻ trên địa bàn tỉnh lắp đặt hệ thống điện mặt trời mái nhà tự sản xuất, tự tiêu thụ (và hệ thống lưu trữ điện lắp đặt đồng bộ) đáp ứng điều kiện hỗ trợ; cơ quan, tổ chức, cá nhân có liên quan đến việc quản lý, thực hiện chính sách.</w:t>
      </w:r>
    </w:p>
    <w:p w:rsidR="00B20D74" w:rsidRDefault="008548CA">
      <w:pPr>
        <w:keepNext/>
        <w:spacing w:before="120" w:after="60" w:line="340" w:lineRule="exact"/>
        <w:ind w:firstLine="567"/>
        <w:jc w:val="both"/>
      </w:pPr>
      <w:r>
        <w:rPr>
          <w:b/>
          <w:bCs/>
        </w:rPr>
        <w:lastRenderedPageBreak/>
        <w:t>V. BỐ CỤC VÀ NỘI DUNG CƠ BẢN CỦA DỰ THẢO NGHỊ QUYẾT</w:t>
      </w:r>
    </w:p>
    <w:p w:rsidR="00B20D74" w:rsidRDefault="008548CA">
      <w:pPr>
        <w:spacing w:before="60" w:after="60" w:line="340" w:lineRule="exact"/>
        <w:ind w:firstLine="567"/>
        <w:jc w:val="both"/>
      </w:pPr>
      <w:r>
        <w:rPr>
          <w:b/>
          <w:bCs/>
        </w:rPr>
        <w:t>1. Bố cục:</w:t>
      </w:r>
      <w:r>
        <w:t xml:space="preserve"> Dự thảo Nghị quyết gồm 13 Điều và Phụ lục 02 mẫu (Mẫu số 01 - Đơn đề nghị hỗ trợ; Mẫu số 02 - Quyết định phê duyệt kinh phí hỗ trợ): Điều 1. Phạm vi điều chỉnh; Điều 2. Đối tượng áp dụng; Điều 3. Nguồn kinh phí thực hiện; Điều 4. Nguyên tắc hỗ trợ; Điều 5. Mức hỗ trợ; Điều 6. Điều kiện hỗ trợ; Điều 7. Hỗ trợ kỹ thuật; Điều 8. Hồ sơ, cơ quan thực hiện thủ tục hành chính và cách thức thực hiện; Điều 9. Trình tự, thời hạn giải quyết và chuyển kinh phí hỗ trợ; Điều 10. Thu hồi kinh phí hỗ trợ; Điều 11. Trách nhiệm của Chủ hộ; Điều 12. Tổ chức thực hiện; Điều 13. Điều khoản thi hành.</w:t>
      </w:r>
    </w:p>
    <w:p w:rsidR="00B20D74" w:rsidRDefault="008548CA">
      <w:pPr>
        <w:keepNext/>
        <w:spacing w:before="60" w:after="60" w:line="340" w:lineRule="exact"/>
        <w:ind w:firstLine="567"/>
        <w:jc w:val="both"/>
      </w:pPr>
      <w:r>
        <w:rPr>
          <w:b/>
          <w:bCs/>
        </w:rPr>
        <w:t>2. Nội dung cơ bản</w:t>
      </w:r>
    </w:p>
    <w:p w:rsidR="00B20D74" w:rsidRDefault="008548CA">
      <w:pPr>
        <w:spacing w:before="60" w:after="60" w:line="340" w:lineRule="exact"/>
        <w:ind w:firstLine="567"/>
        <w:jc w:val="both"/>
      </w:pPr>
      <w:r>
        <w:rPr>
          <w:i/>
          <w:iCs/>
        </w:rPr>
        <w:t>a) Mức hỗ trợ:</w:t>
      </w:r>
      <w:r>
        <w:t xml:space="preserve"> 1.000.000 đồng/kWp công suất định mức tấm quang điện, tối đa 3.000.000 đồng; trường hợp lắp đặt đồng bộ hệ thống lưu trữ điện được hỗ trợ thêm 1.000.000 đồng/kWh dung lượng danh định, tối đa 3.000.000 đồng. Mức hỗ trợ tối đa 6.000.000 đồng/hộ, không vượt quá chi phí thực tế và mỗi nhà ở riêng lẻ chỉ được hỗ trợ 01 lần.</w:t>
      </w:r>
    </w:p>
    <w:p w:rsidR="00B20D74" w:rsidRDefault="008548CA">
      <w:pPr>
        <w:spacing w:before="60" w:after="60" w:line="340" w:lineRule="exact"/>
        <w:ind w:firstLine="567"/>
        <w:jc w:val="both"/>
      </w:pPr>
      <w:r>
        <w:rPr>
          <w:i/>
          <w:iCs/>
        </w:rPr>
        <w:t>b) Điều kiện hỗ trợ:</w:t>
      </w:r>
      <w:r>
        <w:t xml:space="preserve"> Công suất tấm quang điện từ 01 kWp trở lên; hệ thống lưu trữ điện lắp đặt đồng bộ từ 02 kWh trở lên; đã thực hiện thông báo hoặc đăng ký phát triển nguồn điện theo quy định; cam kết sử dụng tối thiểu 03 năm; hệ thống hoàn thành lắp đặt, đưa vào vận hành sau ngày Nghị quyết có hiệu lực.</w:t>
      </w:r>
    </w:p>
    <w:p w:rsidR="00B20D74" w:rsidRDefault="008548CA">
      <w:pPr>
        <w:spacing w:before="60" w:after="60" w:line="340" w:lineRule="exact"/>
        <w:ind w:firstLine="567"/>
        <w:jc w:val="both"/>
      </w:pPr>
      <w:r>
        <w:rPr>
          <w:i/>
          <w:iCs/>
        </w:rPr>
        <w:t>c) Hỗ trợ kỹ thuật:</w:t>
      </w:r>
      <w:r>
        <w:t xml:space="preserve"> Đơn vị điện lực quản lý lưới điện có trách nhiệm hướng dẫn lắp đặt, đấu nối kỹ thuật điện bảo đảm an toàn điện trong thời hạn 05 ngày làm việc; Ủy ban nhân dân cấp xã hướng dẫn hộ gia đình thực hiện quy định pháp luật về thiết kế, an toàn chịu lực công trình và phòng cháy, chữa cháy phù hợp với điều kiện nhà ở.</w:t>
      </w:r>
    </w:p>
    <w:p w:rsidR="00B20D74" w:rsidRDefault="008548CA">
      <w:pPr>
        <w:spacing w:before="60" w:after="60" w:line="340" w:lineRule="exact"/>
        <w:ind w:firstLine="567"/>
        <w:jc w:val="both"/>
      </w:pPr>
      <w:r>
        <w:rPr>
          <w:i/>
          <w:iCs/>
        </w:rPr>
        <w:t>d) Thủ tục:</w:t>
      </w:r>
      <w:r>
        <w:t xml:space="preserve"> Hồ sơ nộp tại Ủy ban nhân dân xã, phường (trực tiếp, bưu chính hoặc trực tuyến) trong thời hạn 12 tháng kể từ ngày hoàn thành lắp đặt; tổng thời gian giải quyết và chuyển kinh phí không quá 15 ngày làm việc; hỗ trợ theo thứ tự tiếp nhận hồ sơ hợp lệ trong phạm vi dự toán, trường hợp hết dự toán thì chi trả trong năm tiếp theo.</w:t>
      </w:r>
    </w:p>
    <w:p w:rsidR="00B20D74" w:rsidRDefault="008548CA">
      <w:pPr>
        <w:spacing w:before="60" w:after="60" w:line="340" w:lineRule="exact"/>
        <w:ind w:firstLine="567"/>
        <w:jc w:val="both"/>
      </w:pPr>
      <w:r>
        <w:rPr>
          <w:i/>
          <w:iCs/>
        </w:rPr>
        <w:t>đ) Thu hồi kinh phí:</w:t>
      </w:r>
      <w:r>
        <w:t xml:space="preserve"> Áp dụng khi tự ý tháo dỡ trước thời hạn cam kết, giả mạo hồ sơ, sử dụng sai mục đích hoặc vi phạm an toàn mà không khắc phục; loại trừ trường hợp bất khả kháng, bảo hành, sửa chữa, thay thế thiết bị, chuyển nhượng nhà ở mà hệ thống vẫn được duy trì.</w:t>
      </w:r>
    </w:p>
    <w:p w:rsidR="00B20D74" w:rsidRDefault="008548CA">
      <w:pPr>
        <w:keepNext/>
        <w:spacing w:before="120" w:after="60" w:line="340" w:lineRule="exact"/>
        <w:ind w:firstLine="567"/>
        <w:jc w:val="both"/>
      </w:pPr>
      <w:r>
        <w:rPr>
          <w:b/>
          <w:bCs/>
        </w:rPr>
        <w:t>VI. DỰ KIẾN NGUỒN LỰC, ĐIỀU KIỆN BẢO ĐẢM THI HÀNH</w:t>
      </w:r>
    </w:p>
    <w:p w:rsidR="00B20D74" w:rsidRDefault="008548CA">
      <w:pPr>
        <w:spacing w:before="60" w:after="60" w:line="340" w:lineRule="exact"/>
        <w:ind w:firstLine="567"/>
        <w:jc w:val="both"/>
      </w:pPr>
      <w:r>
        <w:rPr>
          <w:b/>
          <w:bCs/>
        </w:rPr>
        <w:t>1. Bộ máy, nhân lực:</w:t>
      </w:r>
      <w:r>
        <w:t xml:space="preserve"> Nghị quyết không làm phát sinh tổ chức bộ máy, biên chế mới. Sở Công Thương là cơ quan đầu mối; Sở Tài chính, Sở Xây dựng, Công an tỉnh và các cơ quan liên quan thực hiện theo chức năng, nhiệm vụ; Ủy ban nhân dân xã, phường sử dụng bộ máy hiện có để tiếp nhận, giải quyết hồ sơ và chi trả.</w:t>
      </w:r>
    </w:p>
    <w:p w:rsidR="00B20D74" w:rsidRDefault="008548CA">
      <w:pPr>
        <w:keepNext/>
        <w:spacing w:before="60" w:after="60" w:line="340" w:lineRule="exact"/>
        <w:ind w:firstLine="567"/>
        <w:jc w:val="both"/>
      </w:pPr>
      <w:r>
        <w:rPr>
          <w:b/>
          <w:bCs/>
        </w:rPr>
        <w:t>2. Nguồn kinh phí:</w:t>
      </w:r>
      <w:r>
        <w:t xml:space="preserve"> Ngân sách cấp tỉnh bổ sung có mục tiêu cho ngân sách cấp xã. Nghị quyết có hiệu lực từ ngày 01/01/2027, kinh phí được bố trí trong dự </w:t>
        <w:lastRenderedPageBreak/>
        <w:t>toán ngân sách các năm 2027-2030. Tổng kinh phí dự kiến 480 tỷ đồng, chi tiết như sau:</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71"/>
        <w:gridCol w:w="1200"/>
        <w:gridCol w:w="1200"/>
        <w:gridCol w:w="1200"/>
        <w:gridCol w:w="1200"/>
        <w:gridCol w:w="1200"/>
      </w:tblGrid>
      <w:tr w:rsidR="00B20D74">
        <w:tc>
          <w:tcPr>
            <w:tcW w:w="3071" w:type="dxa"/>
            <w:tcMar>
              <w:top w:w="40" w:type="dxa"/>
              <w:left w:w="100" w:type="dxa"/>
              <w:bottom w:w="40" w:type="dxa"/>
              <w:right w:w="100" w:type="dxa"/>
            </w:tcMar>
            <w:vAlign w:val="center"/>
          </w:tcPr>
          <w:p w:rsidR="00B20D74" w:rsidRDefault="008548CA">
            <w:pPr>
              <w:spacing w:before="40" w:after="40"/>
              <w:jc w:val="center"/>
            </w:pPr>
            <w:r>
              <w:rPr>
                <w:b/>
                <w:bCs/>
                <w:sz w:val="24"/>
                <w:szCs w:val="24"/>
              </w:rPr>
              <w:t>Nội dung</w:t>
            </w:r>
          </w:p>
        </w:tc>
        <w:tc>
          <w:tcPr>
            <w:tcW w:w="1200" w:type="dxa"/>
            <w:tcMar>
              <w:top w:w="40" w:type="dxa"/>
              <w:left w:w="100" w:type="dxa"/>
              <w:bottom w:w="40" w:type="dxa"/>
              <w:right w:w="100" w:type="dxa"/>
            </w:tcMar>
            <w:vAlign w:val="center"/>
          </w:tcPr>
          <w:p w:rsidR="00B20D74" w:rsidRDefault="008548CA">
            <w:pPr>
              <w:spacing w:before="40" w:after="40"/>
              <w:jc w:val="center"/>
            </w:pPr>
            <w:r>
              <w:rPr>
                <w:b/>
                <w:bCs/>
                <w:sz w:val="24"/>
                <w:szCs w:val="24"/>
              </w:rPr>
              <w:t>2027</w:t>
            </w:r>
          </w:p>
        </w:tc>
        <w:tc>
          <w:tcPr>
            <w:tcW w:w="1200" w:type="dxa"/>
            <w:tcMar>
              <w:top w:w="40" w:type="dxa"/>
              <w:left w:w="100" w:type="dxa"/>
              <w:bottom w:w="40" w:type="dxa"/>
              <w:right w:w="100" w:type="dxa"/>
            </w:tcMar>
            <w:vAlign w:val="center"/>
          </w:tcPr>
          <w:p w:rsidR="00B20D74" w:rsidRDefault="008548CA">
            <w:pPr>
              <w:spacing w:before="40" w:after="40"/>
              <w:jc w:val="center"/>
            </w:pPr>
            <w:r>
              <w:rPr>
                <w:b/>
                <w:bCs/>
                <w:sz w:val="24"/>
                <w:szCs w:val="24"/>
              </w:rPr>
              <w:t>2028</w:t>
            </w:r>
          </w:p>
        </w:tc>
        <w:tc>
          <w:tcPr>
            <w:tcW w:w="1200" w:type="dxa"/>
            <w:tcMar>
              <w:top w:w="40" w:type="dxa"/>
              <w:left w:w="100" w:type="dxa"/>
              <w:bottom w:w="40" w:type="dxa"/>
              <w:right w:w="100" w:type="dxa"/>
            </w:tcMar>
            <w:vAlign w:val="center"/>
          </w:tcPr>
          <w:p w:rsidR="00B20D74" w:rsidRDefault="008548CA">
            <w:pPr>
              <w:spacing w:before="40" w:after="40"/>
              <w:jc w:val="center"/>
            </w:pPr>
            <w:r>
              <w:rPr>
                <w:b/>
                <w:bCs/>
                <w:sz w:val="24"/>
                <w:szCs w:val="24"/>
              </w:rPr>
              <w:t>2029</w:t>
            </w:r>
          </w:p>
        </w:tc>
        <w:tc>
          <w:tcPr>
            <w:tcW w:w="1200" w:type="dxa"/>
            <w:tcMar>
              <w:top w:w="40" w:type="dxa"/>
              <w:left w:w="100" w:type="dxa"/>
              <w:bottom w:w="40" w:type="dxa"/>
              <w:right w:w="100" w:type="dxa"/>
            </w:tcMar>
            <w:vAlign w:val="center"/>
          </w:tcPr>
          <w:p w:rsidR="00B20D74" w:rsidRDefault="008548CA">
            <w:pPr>
              <w:spacing w:before="40" w:after="40"/>
              <w:jc w:val="center"/>
            </w:pPr>
            <w:r>
              <w:rPr>
                <w:b/>
                <w:bCs/>
                <w:sz w:val="24"/>
                <w:szCs w:val="24"/>
              </w:rPr>
              <w:t>2030</w:t>
            </w:r>
          </w:p>
        </w:tc>
        <w:tc>
          <w:tcPr>
            <w:tcW w:w="1200" w:type="dxa"/>
            <w:tcMar>
              <w:top w:w="40" w:type="dxa"/>
              <w:left w:w="100" w:type="dxa"/>
              <w:bottom w:w="40" w:type="dxa"/>
              <w:right w:w="100" w:type="dxa"/>
            </w:tcMar>
            <w:vAlign w:val="center"/>
          </w:tcPr>
          <w:p w:rsidR="00B20D74" w:rsidRDefault="008548CA">
            <w:pPr>
              <w:spacing w:before="40" w:after="40"/>
              <w:jc w:val="center"/>
            </w:pPr>
            <w:r>
              <w:rPr>
                <w:b/>
                <w:bCs/>
                <w:sz w:val="24"/>
                <w:szCs w:val="24"/>
              </w:rPr>
              <w:t>Tổng</w:t>
            </w:r>
          </w:p>
        </w:tc>
      </w:tr>
      <w:tr w:rsidR="00B20D74">
        <w:tc>
          <w:tcPr>
            <w:tcW w:w="3071" w:type="dxa"/>
            <w:tcMar>
              <w:top w:w="40" w:type="dxa"/>
              <w:left w:w="100" w:type="dxa"/>
              <w:bottom w:w="40" w:type="dxa"/>
              <w:right w:w="100" w:type="dxa"/>
            </w:tcMar>
            <w:vAlign w:val="center"/>
          </w:tcPr>
          <w:p w:rsidR="00B20D74" w:rsidRDefault="008548CA">
            <w:pPr>
              <w:spacing w:before="40" w:after="40"/>
              <w:jc w:val="center"/>
            </w:pPr>
            <w:r>
              <w:rPr>
                <w:sz w:val="24"/>
                <w:szCs w:val="24"/>
              </w:rPr>
              <w:t>Kinh phí (tỷ đồng)</w:t>
            </w:r>
          </w:p>
        </w:tc>
        <w:tc>
          <w:tcPr>
            <w:tcW w:w="1200" w:type="dxa"/>
            <w:tcMar>
              <w:top w:w="40" w:type="dxa"/>
              <w:left w:w="100" w:type="dxa"/>
              <w:bottom w:w="40" w:type="dxa"/>
              <w:right w:w="100" w:type="dxa"/>
            </w:tcMar>
            <w:vAlign w:val="center"/>
          </w:tcPr>
          <w:p w:rsidR="00B20D74" w:rsidRDefault="008548CA">
            <w:pPr>
              <w:spacing w:before="40" w:after="40"/>
              <w:jc w:val="center"/>
            </w:pPr>
            <w:r>
              <w:rPr>
                <w:sz w:val="24"/>
                <w:szCs w:val="24"/>
              </w:rPr>
              <w:t>120</w:t>
            </w:r>
          </w:p>
        </w:tc>
        <w:tc>
          <w:tcPr>
            <w:tcW w:w="1200" w:type="dxa"/>
            <w:tcMar>
              <w:top w:w="40" w:type="dxa"/>
              <w:left w:w="100" w:type="dxa"/>
              <w:bottom w:w="40" w:type="dxa"/>
              <w:right w:w="100" w:type="dxa"/>
            </w:tcMar>
            <w:vAlign w:val="center"/>
          </w:tcPr>
          <w:p w:rsidR="00B20D74" w:rsidRDefault="008548CA">
            <w:pPr>
              <w:spacing w:before="40" w:after="40"/>
              <w:jc w:val="center"/>
            </w:pPr>
            <w:r>
              <w:rPr>
                <w:sz w:val="24"/>
                <w:szCs w:val="24"/>
              </w:rPr>
              <w:t>120</w:t>
            </w:r>
          </w:p>
        </w:tc>
        <w:tc>
          <w:tcPr>
            <w:tcW w:w="1200" w:type="dxa"/>
            <w:tcMar>
              <w:top w:w="40" w:type="dxa"/>
              <w:left w:w="100" w:type="dxa"/>
              <w:bottom w:w="40" w:type="dxa"/>
              <w:right w:w="100" w:type="dxa"/>
            </w:tcMar>
            <w:vAlign w:val="center"/>
          </w:tcPr>
          <w:p w:rsidR="00B20D74" w:rsidRDefault="008548CA">
            <w:pPr>
              <w:spacing w:before="40" w:after="40"/>
              <w:jc w:val="center"/>
            </w:pPr>
            <w:r>
              <w:rPr>
                <w:sz w:val="24"/>
                <w:szCs w:val="24"/>
              </w:rPr>
              <w:t>120</w:t>
            </w:r>
          </w:p>
        </w:tc>
        <w:tc>
          <w:tcPr>
            <w:tcW w:w="1200" w:type="dxa"/>
            <w:tcMar>
              <w:top w:w="40" w:type="dxa"/>
              <w:left w:w="100" w:type="dxa"/>
              <w:bottom w:w="40" w:type="dxa"/>
              <w:right w:w="100" w:type="dxa"/>
            </w:tcMar>
            <w:vAlign w:val="center"/>
          </w:tcPr>
          <w:p w:rsidR="00B20D74" w:rsidRDefault="008548CA">
            <w:pPr>
              <w:spacing w:before="40" w:after="40"/>
              <w:jc w:val="center"/>
            </w:pPr>
            <w:r>
              <w:rPr>
                <w:sz w:val="24"/>
                <w:szCs w:val="24"/>
              </w:rPr>
              <w:t>120</w:t>
            </w:r>
          </w:p>
        </w:tc>
        <w:tc>
          <w:tcPr>
            <w:tcW w:w="1200" w:type="dxa"/>
            <w:tcMar>
              <w:top w:w="40" w:type="dxa"/>
              <w:left w:w="100" w:type="dxa"/>
              <w:bottom w:w="40" w:type="dxa"/>
              <w:right w:w="100" w:type="dxa"/>
            </w:tcMar>
            <w:vAlign w:val="center"/>
          </w:tcPr>
          <w:p w:rsidR="00B20D74" w:rsidRDefault="008548CA">
            <w:pPr>
              <w:spacing w:before="40" w:after="40"/>
              <w:jc w:val="center"/>
            </w:pPr>
            <w:r>
              <w:rPr>
                <w:sz w:val="24"/>
                <w:szCs w:val="24"/>
              </w:rPr>
              <w:t>480</w:t>
            </w:r>
          </w:p>
        </w:tc>
      </w:tr>
      <w:tr w:rsidR="00B20D74">
        <w:tc>
          <w:tcPr>
            <w:tcW w:w="3071" w:type="dxa"/>
            <w:tcMar>
              <w:top w:w="40" w:type="dxa"/>
              <w:left w:w="100" w:type="dxa"/>
              <w:bottom w:w="40" w:type="dxa"/>
              <w:right w:w="100" w:type="dxa"/>
            </w:tcMar>
            <w:vAlign w:val="center"/>
          </w:tcPr>
          <w:p w:rsidR="00B20D74" w:rsidRDefault="008548CA">
            <w:pPr>
              <w:spacing w:before="40" w:after="40"/>
              <w:jc w:val="center"/>
            </w:pPr>
            <w:r>
              <w:rPr>
                <w:sz w:val="24"/>
                <w:szCs w:val="24"/>
              </w:rPr>
              <w:t>Số hộ dự kiến hỗ trợ</w:t>
            </w:r>
          </w:p>
        </w:tc>
        <w:tc>
          <w:tcPr>
            <w:tcW w:w="1200" w:type="dxa"/>
            <w:tcMar>
              <w:top w:w="40" w:type="dxa"/>
              <w:left w:w="100" w:type="dxa"/>
              <w:bottom w:w="40" w:type="dxa"/>
              <w:right w:w="100" w:type="dxa"/>
            </w:tcMar>
            <w:vAlign w:val="center"/>
          </w:tcPr>
          <w:p w:rsidR="00B20D74" w:rsidRDefault="008548CA">
            <w:pPr>
              <w:spacing w:before="40" w:after="40"/>
              <w:jc w:val="center"/>
            </w:pPr>
            <w:r>
              <w:rPr>
                <w:sz w:val="24"/>
                <w:szCs w:val="24"/>
              </w:rPr>
              <w:t>20.000</w:t>
            </w:r>
          </w:p>
        </w:tc>
        <w:tc>
          <w:tcPr>
            <w:tcW w:w="1200" w:type="dxa"/>
            <w:tcMar>
              <w:top w:w="40" w:type="dxa"/>
              <w:left w:w="100" w:type="dxa"/>
              <w:bottom w:w="40" w:type="dxa"/>
              <w:right w:w="100" w:type="dxa"/>
            </w:tcMar>
            <w:vAlign w:val="center"/>
          </w:tcPr>
          <w:p w:rsidR="00B20D74" w:rsidRDefault="008548CA">
            <w:pPr>
              <w:spacing w:before="40" w:after="40"/>
              <w:jc w:val="center"/>
            </w:pPr>
            <w:r>
              <w:rPr>
                <w:sz w:val="24"/>
                <w:szCs w:val="24"/>
              </w:rPr>
              <w:t>20.000</w:t>
            </w:r>
          </w:p>
        </w:tc>
        <w:tc>
          <w:tcPr>
            <w:tcW w:w="1200" w:type="dxa"/>
            <w:tcMar>
              <w:top w:w="40" w:type="dxa"/>
              <w:left w:w="100" w:type="dxa"/>
              <w:bottom w:w="40" w:type="dxa"/>
              <w:right w:w="100" w:type="dxa"/>
            </w:tcMar>
            <w:vAlign w:val="center"/>
          </w:tcPr>
          <w:p w:rsidR="00B20D74" w:rsidRDefault="008548CA">
            <w:pPr>
              <w:spacing w:before="40" w:after="40"/>
              <w:jc w:val="center"/>
            </w:pPr>
            <w:r>
              <w:rPr>
                <w:sz w:val="24"/>
                <w:szCs w:val="24"/>
              </w:rPr>
              <w:t>20.000</w:t>
            </w:r>
          </w:p>
        </w:tc>
        <w:tc>
          <w:tcPr>
            <w:tcW w:w="1200" w:type="dxa"/>
            <w:tcMar>
              <w:top w:w="40" w:type="dxa"/>
              <w:left w:w="100" w:type="dxa"/>
              <w:bottom w:w="40" w:type="dxa"/>
              <w:right w:w="100" w:type="dxa"/>
            </w:tcMar>
            <w:vAlign w:val="center"/>
          </w:tcPr>
          <w:p w:rsidR="00B20D74" w:rsidRDefault="008548CA">
            <w:pPr>
              <w:spacing w:before="40" w:after="40"/>
              <w:jc w:val="center"/>
            </w:pPr>
            <w:r>
              <w:rPr>
                <w:sz w:val="24"/>
                <w:szCs w:val="24"/>
              </w:rPr>
              <w:t>20.000</w:t>
            </w:r>
          </w:p>
        </w:tc>
        <w:tc>
          <w:tcPr>
            <w:tcW w:w="1200" w:type="dxa"/>
            <w:tcMar>
              <w:top w:w="40" w:type="dxa"/>
              <w:left w:w="100" w:type="dxa"/>
              <w:bottom w:w="40" w:type="dxa"/>
              <w:right w:w="100" w:type="dxa"/>
            </w:tcMar>
            <w:vAlign w:val="center"/>
          </w:tcPr>
          <w:p w:rsidR="00B20D74" w:rsidRDefault="008548CA">
            <w:pPr>
              <w:spacing w:before="40" w:after="40"/>
              <w:jc w:val="center"/>
            </w:pPr>
            <w:r>
              <w:rPr>
                <w:sz w:val="24"/>
                <w:szCs w:val="24"/>
              </w:rPr>
              <w:t>80.000</w:t>
            </w:r>
          </w:p>
        </w:tc>
      </w:tr>
    </w:tbl>
    <w:p w:rsidR="00B20D74" w:rsidRDefault="008548CA">
      <w:pPr>
        <w:spacing w:before="120" w:after="60" w:line="340" w:lineRule="exact"/>
        <w:ind w:firstLine="567"/>
        <w:jc w:val="both"/>
      </w:pPr>
      <w:r>
        <w:t>Kinh phí được khái toán trên cơ sở khoảng 200.000 hộ sử dụng điện, mục tiêu 10% số hộ lắp đặt điện mặt trời mái nhà hằng năm theo Chỉ thị số 10/CT-TTg (20.000 hộ/năm) với mức hỗ trợ tối đa 6.000.000 đồng/hộ, tương ứng khoảng 80.000 hộ trong giai đoạn 2027-2030 (khoảng 160.000 hộ nếu chỉ lắp điện mặt trời, mức tối đa 3.000.000 đồng/hộ). Kinh phí bố trí hằng năm được điều chỉnh theo nhu cầu đăng ký thực tế và khả năng cân đối ngân sách.</w:t>
      </w:r>
    </w:p>
    <w:p w:rsidR="00B20D74" w:rsidRDefault="008548CA">
      <w:pPr>
        <w:keepNext/>
        <w:spacing w:before="120" w:after="60" w:line="340" w:lineRule="exact"/>
        <w:ind w:firstLine="567"/>
        <w:jc w:val="both"/>
      </w:pPr>
      <w:r>
        <w:rPr>
          <w:b/>
          <w:bCs/>
        </w:rPr>
        <w:t>VII. NHỮNG VẤN ĐỀ XIN Ý KIẾN</w:t>
      </w:r>
    </w:p>
    <w:p w:rsidR="00B20D74" w:rsidRDefault="008548CA">
      <w:pPr>
        <w:spacing w:before="60" w:after="60" w:line="340" w:lineRule="exact"/>
        <w:ind w:firstLine="567"/>
        <w:jc w:val="both"/>
      </w:pPr>
      <w:r>
        <w:t>Kinh phí thực hiện giai đoạn 2027-2030 dự kiến 480 tỷ đồng (120 tỷ đồng/năm).</w:t>
      </w:r>
    </w:p>
    <w:p w:rsidR="00B20D74" w:rsidRDefault="008548CA">
      <w:pPr>
        <w:spacing w:before="120" w:after="60" w:line="340" w:lineRule="exact"/>
        <w:ind w:firstLine="567"/>
        <w:jc w:val="both"/>
      </w:pPr>
      <w:r>
        <w:t>Ủy ban nhân dân tỉnh kính trình Hội đồng nhân dân tỉnh xem xét, quyết định./.</w:t>
      </w:r>
    </w:p>
    <w:p w:rsidR="00B20D74" w:rsidRDefault="008548CA">
      <w:pPr>
        <w:spacing w:before="60" w:after="200" w:line="340" w:lineRule="exact"/>
        <w:ind w:firstLine="567"/>
        <w:jc w:val="both"/>
      </w:pPr>
      <w:r>
        <w:rPr>
          <w:i/>
          <w:iCs/>
        </w:rPr>
        <w:t xml:space="preserve">(Hồ sơ gửi kèm: Dự thảo Nghị quyết; Báo cáo thẩm định của Sở Tư pháp; Báo cáo tổng hợp, tiếp thu, giải trình ý kiến góp ý; </w:t>
      </w:r>
      <w:r>
        <w:rPr>
          <w:i/>
          <w:iCs/>
        </w:rPr>
        <w:t xml:space="preserve">Bản so sánh, thuyết minh nội dung dự thảo Nghị quyết; Bản đánh giá tác động thủ tục hành chính và việc phân cấp; Bảng khái toán kinh phí)</w:t>
      </w:r>
    </w:p>
    <w:tbl>
      <w:tblPr>
        <w:tblW w:w="9071"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300"/>
        <w:gridCol w:w="4771"/>
      </w:tblGrid>
      <w:tr w:rsidR="00B20D74">
        <w:trPr>
          <w:cantSplit/>
        </w:trPr>
        <w:tc>
          <w:tcPr>
            <w:tcW w:w="4300"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B20D74" w:rsidRDefault="008548CA">
            <w:r>
              <w:rPr>
                <w:b/>
                <w:bCs/>
                <w:i/>
                <w:iCs/>
                <w:sz w:val="24"/>
                <w:szCs w:val="24"/>
              </w:rPr>
              <w:t>Nơi nhận:</w:t>
            </w:r>
          </w:p>
          <w:p w:rsidR="00B20D74" w:rsidRDefault="008548CA">
            <w:r>
              <w:rPr>
                <w:sz w:val="22"/>
                <w:szCs w:val="22"/>
              </w:rPr>
              <w:t>- Như trên;</w:t>
            </w:r>
          </w:p>
          <w:p w:rsidR="00B20D74" w:rsidRDefault="008548CA">
            <w:r>
              <w:rPr>
                <w:sz w:val="22"/>
                <w:szCs w:val="22"/>
              </w:rPr>
              <w:t>- Thường trực Tỉnh ủy (b/c);</w:t>
            </w:r>
          </w:p>
          <w:p w:rsidR="00B20D74" w:rsidRDefault="008548CA">
            <w:r>
              <w:rPr>
                <w:sz w:val="22"/>
                <w:szCs w:val="22"/>
              </w:rPr>
              <w:t>- Thường trực HĐND tỉnh;</w:t>
            </w:r>
          </w:p>
          <w:p w:rsidR="00B20D74" w:rsidRDefault="008548CA">
            <w:r>
              <w:rPr>
                <w:sz w:val="22"/>
                <w:szCs w:val="22"/>
              </w:rPr>
              <w:t>- Chủ tịch, các PCT UBND tỉnh;</w:t>
            </w:r>
          </w:p>
          <w:p w:rsidR="00B20D74" w:rsidRDefault="008548CA">
            <w:r>
              <w:rPr>
                <w:sz w:val="22"/>
                <w:szCs w:val="22"/>
              </w:rPr>
              <w:t>- Ban Kinh tế - Ngân sách HĐND tỉnh;</w:t>
            </w:r>
          </w:p>
          <w:p w:rsidR="00B20D74" w:rsidRDefault="008548CA">
            <w:r>
              <w:rPr>
                <w:sz w:val="22"/>
                <w:szCs w:val="22"/>
              </w:rPr>
              <w:t>- Các đại biểu HĐND tỉnh;</w:t>
            </w:r>
          </w:p>
          <w:p w:rsidR="00B20D74" w:rsidRDefault="008548CA">
            <w:r>
              <w:rPr>
                <w:sz w:val="22"/>
                <w:szCs w:val="22"/>
              </w:rPr>
              <w:t>- Văn phòng Đoàn ĐBQH và HĐND tỉnh;</w:t>
            </w:r>
          </w:p>
          <w:p w:rsidR="00B20D74" w:rsidRDefault="008548CA">
            <w:r>
              <w:rPr>
                <w:sz w:val="22"/>
                <w:szCs w:val="22"/>
              </w:rPr>
              <w:t>- Các Sở: Công Thương, Tài chính, Tư pháp;</w:t>
            </w:r>
          </w:p>
          <w:p w:rsidR="00B20D74" w:rsidRDefault="008548CA">
            <w:r>
              <w:rPr>
                <w:sz w:val="22"/>
                <w:szCs w:val="22"/>
              </w:rPr>
              <w:t>- Lưu: VT, KT.</w:t>
            </w:r>
          </w:p>
        </w:tc>
        <w:tc>
          <w:tcPr>
            <w:tcW w:w="4771" w:type="dxa"/>
            <w:tcBorders>
              <w:top w:val="none" w:sz="0" w:space="0" w:color="FFFFFF"/>
              <w:left w:val="none" w:sz="0" w:space="0" w:color="FFFFFF"/>
              <w:bottom w:val="none" w:sz="0" w:space="0" w:color="FFFFFF"/>
              <w:right w:val="none" w:sz="0" w:space="0" w:color="FFFFFF"/>
            </w:tcBorders>
            <w:tcMar>
              <w:top w:w="40" w:type="dxa"/>
              <w:left w:w="100" w:type="dxa"/>
              <w:bottom w:w="40" w:type="dxa"/>
              <w:right w:w="100" w:type="dxa"/>
            </w:tcMar>
          </w:tcPr>
          <w:p w:rsidR="00B20D74" w:rsidRDefault="008548CA">
            <w:pPr>
              <w:jc w:val="center"/>
            </w:pPr>
            <w:r>
              <w:rPr>
                <w:b/>
                <w:bCs/>
              </w:rPr>
              <w:t>TM. ỦY BAN NHÂN DÂN</w:t>
            </w:r>
          </w:p>
          <w:p w:rsidR="00B20D74" w:rsidRDefault="008548CA">
            <w:pPr>
              <w:jc w:val="center"/>
            </w:pPr>
            <w:r>
              <w:rPr>
                <w:b/>
                <w:bCs/>
              </w:rPr>
              <w:t>KT. CHỦ TỊCH</w:t>
            </w:r>
          </w:p>
          <w:p w:rsidR="00B20D74" w:rsidRDefault="008548CA">
            <w:pPr>
              <w:jc w:val="center"/>
            </w:pPr>
            <w:r>
              <w:rPr>
                <w:b/>
                <w:bCs/>
              </w:rPr>
              <w:t>PHÓ CHỦ TỊCH</w:t>
            </w:r>
          </w:p>
        </w:tc>
      </w:tr>
    </w:tbl>
    <w:p w:rsidR="008548CA" w:rsidRDefault="008548CA"/>
    <w:sectPr w:rsidR="008548CA">
      <w:footerReference w:type="default" r:id="rId7"/>
      <w:pgSz w:w="11906" w:h="16838"/>
      <w:pgMar w:top="1134"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74C" w:rsidRDefault="0085174C">
      <w:r>
        <w:separator/>
      </w:r>
    </w:p>
  </w:endnote>
  <w:endnote w:type="continuationSeparator" w:id="0">
    <w:p w:rsidR="0085174C" w:rsidRDefault="00851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0D74" w:rsidRDefault="008548CA">
    <w:pPr>
      <w:jc w:val="right"/>
    </w:pPr>
    <w:r>
      <w:rPr>
        <w:sz w:val="22"/>
        <w:szCs w:val="22"/>
      </w:rPr>
      <w:fldChar w:fldCharType="begin"/>
    </w:r>
    <w:r>
      <w:rPr>
        <w:sz w:val="22"/>
        <w:szCs w:val="22"/>
      </w:rPr>
      <w:instrText>PAGE</w:instrText>
    </w:r>
    <w:r>
      <w:rPr>
        <w:sz w:val="22"/>
        <w:szCs w:val="22"/>
      </w:rPr>
      <w:fldChar w:fldCharType="separate"/>
    </w:r>
    <w:r w:rsidR="00712231">
      <w:rPr>
        <w:noProof/>
        <w:sz w:val="22"/>
        <w:szCs w:val="22"/>
      </w:rPr>
      <w:t>2</w:t>
    </w:r>
    <w:r>
      <w:rPr>
        <w:sz w:val="22"/>
        <w:szCs w:val="2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74C" w:rsidRDefault="0085174C">
      <w:r>
        <w:separator/>
      </w:r>
    </w:p>
  </w:footnote>
  <w:footnote w:type="continuationSeparator" w:id="0">
    <w:p w:rsidR="0085174C" w:rsidRDefault="008517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DB1D33"/>
    <w:multiLevelType w:val="hybridMultilevel"/>
    <w:tmpl w:val="DD8011A4"/>
    <w:lvl w:ilvl="0" w:tplc="4816DCDC">
      <w:start w:val="1"/>
      <w:numFmt w:val="bullet"/>
      <w:lvlText w:val="●"/>
      <w:lvlJc w:val="left"/>
      <w:pPr>
        <w:ind w:left="720" w:hanging="360"/>
      </w:pPr>
    </w:lvl>
    <w:lvl w:ilvl="1" w:tplc="818EB23C">
      <w:start w:val="1"/>
      <w:numFmt w:val="bullet"/>
      <w:lvlText w:val="○"/>
      <w:lvlJc w:val="left"/>
      <w:pPr>
        <w:ind w:left="1440" w:hanging="360"/>
      </w:pPr>
    </w:lvl>
    <w:lvl w:ilvl="2" w:tplc="3E1403EA">
      <w:start w:val="1"/>
      <w:numFmt w:val="bullet"/>
      <w:lvlText w:val="■"/>
      <w:lvlJc w:val="left"/>
      <w:pPr>
        <w:ind w:left="2160" w:hanging="360"/>
      </w:pPr>
    </w:lvl>
    <w:lvl w:ilvl="3" w:tplc="A16C42B2">
      <w:start w:val="1"/>
      <w:numFmt w:val="bullet"/>
      <w:lvlText w:val="●"/>
      <w:lvlJc w:val="left"/>
      <w:pPr>
        <w:ind w:left="2880" w:hanging="360"/>
      </w:pPr>
    </w:lvl>
    <w:lvl w:ilvl="4" w:tplc="0E3696AA">
      <w:start w:val="1"/>
      <w:numFmt w:val="bullet"/>
      <w:lvlText w:val="○"/>
      <w:lvlJc w:val="left"/>
      <w:pPr>
        <w:ind w:left="3600" w:hanging="360"/>
      </w:pPr>
    </w:lvl>
    <w:lvl w:ilvl="5" w:tplc="98AC9DA6">
      <w:start w:val="1"/>
      <w:numFmt w:val="bullet"/>
      <w:lvlText w:val="■"/>
      <w:lvlJc w:val="left"/>
      <w:pPr>
        <w:ind w:left="4320" w:hanging="360"/>
      </w:pPr>
    </w:lvl>
    <w:lvl w:ilvl="6" w:tplc="67A0E26E">
      <w:start w:val="1"/>
      <w:numFmt w:val="bullet"/>
      <w:lvlText w:val="●"/>
      <w:lvlJc w:val="left"/>
      <w:pPr>
        <w:ind w:left="5040" w:hanging="360"/>
      </w:pPr>
    </w:lvl>
    <w:lvl w:ilvl="7" w:tplc="2514E0FA">
      <w:start w:val="1"/>
      <w:numFmt w:val="bullet"/>
      <w:lvlText w:val="●"/>
      <w:lvlJc w:val="left"/>
      <w:pPr>
        <w:ind w:left="5760" w:hanging="360"/>
      </w:pPr>
    </w:lvl>
    <w:lvl w:ilvl="8" w:tplc="70F6E5A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D74"/>
    <w:rsid w:val="005A2D20"/>
    <w:rsid w:val="00712231"/>
    <w:rsid w:val="0085174C"/>
    <w:rsid w:val="008548CA"/>
    <w:rsid w:val="00B20D74"/>
    <w:rsid w:val="00B95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90416"/>
  <w15:docId w15:val="{F700F676-AFC3-4D76-80BF-ADA97FDA3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rsid w:val="00712231"/>
    <w:pPr>
      <w:jc w:val="center"/>
    </w:pPr>
    <w:rPr>
      <w:rFonts w:ascii=".VnTimeH" w:hAnsi=".VnTimeH"/>
      <w:b/>
      <w:sz w:val="26"/>
      <w:szCs w:val="20"/>
      <w:lang w:eastAsia="x-none"/>
    </w:rPr>
  </w:style>
  <w:style w:type="character" w:customStyle="1" w:styleId="BodyTextChar">
    <w:name w:val="Body Text Char"/>
    <w:basedOn w:val="DefaultParagraphFont"/>
    <w:link w:val="BodyText"/>
    <w:rsid w:val="00712231"/>
    <w:rPr>
      <w:rFonts w:ascii=".VnTimeH" w:hAnsi=".VnTimeH"/>
      <w:b/>
      <w:sz w:val="26"/>
      <w:szCs w:val="20"/>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1708</Words>
  <Characters>9741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3</cp:revision>
  <dcterms:created xsi:type="dcterms:W3CDTF">2026-10-05T09:26:00Z</dcterms:created>
  <dcterms:modified xsi:type="dcterms:W3CDTF">2026-10-07T08:08:00Z</dcterms:modified>
</cp:coreProperties>
</file>